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健康管理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学院关于组织参加2020年上半年全国高校教师网络培训活动方案</w:t>
      </w:r>
    </w:p>
    <w:p>
      <w:pPr>
        <w:pStyle w:val="6"/>
        <w:widowControl/>
        <w:wordWrap w:val="0"/>
        <w:spacing w:line="360" w:lineRule="auto"/>
        <w:ind w:firstLine="560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ascii="仿宋_gb2312" w:hAnsi="仿宋_gb2312" w:eastAsia="仿宋_gb2312" w:cs="仿宋_gb2312"/>
          <w:color w:val="333333"/>
          <w:sz w:val="28"/>
          <w:szCs w:val="28"/>
        </w:rPr>
        <w:t>为进一步提高教师教学能力业务水平和综合素养，根据《河南省教育厅办公室转发教育部全国高校教师网络培训中心2020年上半年全国高校教师网络培训计划的通知》要求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及学校学习安排</w:t>
      </w:r>
      <w:r>
        <w:rPr>
          <w:rFonts w:ascii="仿宋_gb2312" w:hAnsi="仿宋_gb2312" w:eastAsia="仿宋_gb2312" w:cs="仿宋_gb2312"/>
          <w:color w:val="333333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特制定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  <w:lang w:val="en-US" w:eastAsia="zh-CN"/>
        </w:rPr>
        <w:t>健康管理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学院全体教师网络培训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  <w:lang w:val="en-US" w:eastAsia="zh-CN"/>
        </w:rPr>
        <w:t>活动方案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，具体如下。</w:t>
      </w:r>
    </w:p>
    <w:p>
      <w:pPr>
        <w:pStyle w:val="6"/>
        <w:widowControl/>
        <w:wordWrap w:val="0"/>
        <w:spacing w:line="360" w:lineRule="auto"/>
        <w:ind w:firstLine="560"/>
        <w:rPr>
          <w:sz w:val="24"/>
          <w:szCs w:val="24"/>
        </w:rPr>
      </w:pPr>
      <w:r>
        <w:rPr>
          <w:rStyle w:val="10"/>
          <w:rFonts w:ascii="黑体" w:hAnsi="宋体" w:eastAsia="黑体" w:cs="黑体"/>
          <w:b w:val="0"/>
          <w:color w:val="333333"/>
          <w:sz w:val="28"/>
          <w:szCs w:val="28"/>
        </w:rPr>
        <w:t>一、培训对象</w:t>
      </w:r>
    </w:p>
    <w:p>
      <w:pPr>
        <w:pStyle w:val="6"/>
        <w:widowControl/>
        <w:wordWrap w:val="0"/>
        <w:spacing w:line="360" w:lineRule="auto"/>
        <w:ind w:firstLine="560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  <w:lang w:val="en-US" w:eastAsia="zh-CN"/>
        </w:rPr>
        <w:t>健康管理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学院全体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  <w:lang w:val="en-US" w:eastAsia="zh-CN"/>
        </w:rPr>
        <w:t>教职工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（教师及教辅）</w:t>
      </w:r>
      <w:bookmarkStart w:id="0" w:name="_GoBack"/>
      <w:bookmarkEnd w:id="0"/>
    </w:p>
    <w:p>
      <w:pPr>
        <w:pStyle w:val="6"/>
        <w:widowControl/>
        <w:wordWrap w:val="0"/>
        <w:spacing w:line="360" w:lineRule="auto"/>
        <w:ind w:firstLine="560"/>
        <w:rPr>
          <w:sz w:val="24"/>
          <w:szCs w:val="24"/>
        </w:rPr>
      </w:pPr>
      <w:r>
        <w:rPr>
          <w:rStyle w:val="10"/>
          <w:rFonts w:hint="eastAsia" w:ascii="黑体" w:hAnsi="宋体" w:eastAsia="黑体" w:cs="黑体"/>
          <w:b w:val="0"/>
          <w:color w:val="333333"/>
          <w:sz w:val="28"/>
          <w:szCs w:val="28"/>
        </w:rPr>
        <w:t>二、培训计划及要求</w:t>
      </w:r>
    </w:p>
    <w:p>
      <w:pPr>
        <w:pStyle w:val="6"/>
        <w:widowControl/>
        <w:wordWrap w:val="0"/>
        <w:spacing w:line="360" w:lineRule="auto"/>
        <w:ind w:firstLine="560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ascii="仿宋_gb2312" w:hAnsi="仿宋_gb2312" w:eastAsia="仿宋_gb2312" w:cs="仿宋_gb2312"/>
          <w:color w:val="333333"/>
          <w:sz w:val="28"/>
          <w:szCs w:val="28"/>
        </w:rPr>
        <w:t>培训通过全国高校教师网络培训平台</w:t>
      </w:r>
      <w:r>
        <w:rPr>
          <w:rFonts w:ascii="仿宋_gb2312" w:hAnsi="仿宋_gb2312" w:eastAsia="仿宋_gb2312" w:cs="仿宋_gb2312"/>
          <w:color w:val="111111"/>
          <w:sz w:val="28"/>
          <w:szCs w:val="28"/>
        </w:rPr>
        <w:t>和移动学习平台</w:t>
      </w:r>
      <w:r>
        <w:rPr>
          <w:rFonts w:ascii="仿宋_gb2312" w:hAnsi="仿宋_gb2312" w:eastAsia="仿宋_gb2312" w:cs="仿宋_gb2312"/>
          <w:color w:val="333333"/>
          <w:sz w:val="28"/>
          <w:szCs w:val="28"/>
        </w:rPr>
        <w:t>等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进行</w:t>
      </w:r>
      <w:r>
        <w:rPr>
          <w:rFonts w:ascii="仿宋_gb2312" w:hAnsi="仿宋_gb2312" w:eastAsia="仿宋_gb2312" w:cs="仿宋_gb2312"/>
          <w:color w:val="333333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包括</w:t>
      </w:r>
      <w:r>
        <w:rPr>
          <w:rFonts w:ascii="仿宋_gb2312" w:hAnsi="仿宋_gb2312" w:eastAsia="仿宋_gb2312" w:cs="仿宋_gb2312"/>
          <w:color w:val="333333"/>
          <w:sz w:val="28"/>
          <w:szCs w:val="28"/>
        </w:rPr>
        <w:t>网络直播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、</w:t>
      </w:r>
      <w:r>
        <w:rPr>
          <w:rFonts w:ascii="仿宋_gb2312" w:hAnsi="仿宋_gb2312" w:eastAsia="仿宋_gb2312" w:cs="仿宋_gb2312"/>
          <w:color w:val="333333"/>
          <w:sz w:val="28"/>
          <w:szCs w:val="28"/>
        </w:rPr>
        <w:t>战“疫”公开课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、</w:t>
      </w:r>
      <w:r>
        <w:rPr>
          <w:rFonts w:ascii="仿宋_gb2312" w:hAnsi="仿宋_gb2312" w:eastAsia="仿宋_gb2312" w:cs="仿宋_gb2312"/>
          <w:color w:val="333333"/>
          <w:sz w:val="28"/>
          <w:szCs w:val="28"/>
        </w:rPr>
        <w:t>公开选修专题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三个模块，</w:t>
      </w:r>
      <w:r>
        <w:rPr>
          <w:rFonts w:ascii="仿宋_gb2312" w:hAnsi="仿宋_gb2312" w:eastAsia="仿宋_gb2312" w:cs="仿宋_gb2312"/>
          <w:color w:val="333333"/>
          <w:sz w:val="28"/>
          <w:szCs w:val="28"/>
        </w:rPr>
        <w:t>培训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内容关于</w:t>
      </w:r>
      <w:r>
        <w:rPr>
          <w:rFonts w:ascii="仿宋_gb2312" w:hAnsi="仿宋_gb2312" w:eastAsia="仿宋_gb2312" w:cs="仿宋_gb2312"/>
          <w:color w:val="333333"/>
          <w:sz w:val="28"/>
          <w:szCs w:val="28"/>
        </w:rPr>
        <w:t>教师角色形成、教学技能养成、教学手段扩展、科学研究养成等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（具体学习内容见附件）</w:t>
      </w:r>
      <w:r>
        <w:rPr>
          <w:rFonts w:ascii="仿宋_gb2312" w:hAnsi="仿宋_gb2312" w:eastAsia="仿宋_gb2312" w:cs="仿宋_gb2312"/>
          <w:color w:val="333333"/>
          <w:sz w:val="28"/>
          <w:szCs w:val="28"/>
        </w:rPr>
        <w:t>。</w:t>
      </w:r>
    </w:p>
    <w:p>
      <w:pPr>
        <w:pStyle w:val="6"/>
        <w:widowControl/>
        <w:wordWrap w:val="0"/>
        <w:spacing w:line="360" w:lineRule="auto"/>
        <w:ind w:firstLine="560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要求每位教师需在三个模块内（每个模块至少选择一门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  <w:lang w:val="en-US" w:eastAsia="zh-CN"/>
        </w:rPr>
        <w:t>共计四门，选择课程须契合或接近四个培训内容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）分别进行学习，积极完成相关视频、活动、作业内容。6月1日之前每位老师总学分需达到5分，下载（打印）电子证书，并将个人最终学习情况（包括学习内容、学时、学分等）以教研室为单位交至院系。</w:t>
      </w:r>
    </w:p>
    <w:p>
      <w:pPr>
        <w:pStyle w:val="6"/>
        <w:widowControl/>
        <w:wordWrap w:val="0"/>
        <w:spacing w:line="360" w:lineRule="auto"/>
        <w:ind w:firstLine="560"/>
        <w:rPr>
          <w:sz w:val="24"/>
          <w:szCs w:val="24"/>
        </w:rPr>
      </w:pPr>
      <w:r>
        <w:rPr>
          <w:rStyle w:val="10"/>
          <w:rFonts w:hint="eastAsia" w:ascii="黑体" w:hAnsi="宋体" w:eastAsia="黑体" w:cs="黑体"/>
          <w:b w:val="0"/>
          <w:color w:val="333333"/>
          <w:sz w:val="28"/>
          <w:szCs w:val="28"/>
        </w:rPr>
        <w:t>三、学习路径</w:t>
      </w:r>
    </w:p>
    <w:p>
      <w:pPr>
        <w:pStyle w:val="6"/>
        <w:widowControl/>
        <w:wordWrap w:val="0"/>
        <w:spacing w:line="360" w:lineRule="auto"/>
        <w:ind w:firstLine="560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方法一：</w:t>
      </w:r>
    </w:p>
    <w:p>
      <w:pPr>
        <w:pStyle w:val="6"/>
        <w:widowControl/>
        <w:wordWrap w:val="0"/>
        <w:spacing w:line="360" w:lineRule="auto"/>
        <w:ind w:firstLine="560"/>
        <w:rPr>
          <w:sz w:val="24"/>
          <w:szCs w:val="24"/>
        </w:rPr>
      </w:pPr>
      <w:r>
        <w:rPr>
          <w:rFonts w:ascii="仿宋_gb2312" w:hAnsi="仿宋_gb2312" w:eastAsia="仿宋_gb2312" w:cs="仿宋_gb2312"/>
          <w:color w:val="333333"/>
          <w:sz w:val="28"/>
          <w:szCs w:val="28"/>
        </w:rPr>
        <w:t>登录新乡医学院三全学院教师在线学习中心</w:t>
      </w:r>
      <w:r>
        <w:fldChar w:fldCharType="begin"/>
      </w:r>
      <w:r>
        <w:instrText xml:space="preserve"> HYPERLINK "qq://txfile/" \t "http://10.10.12.8:8082/seeyon/_blank" </w:instrText>
      </w:r>
      <w:r>
        <w:fldChar w:fldCharType="separate"/>
      </w:r>
      <w:r>
        <w:rPr>
          <w:rStyle w:val="12"/>
          <w:rFonts w:ascii="仿宋_gb2312" w:hAnsi="仿宋_gb2312" w:eastAsia="仿宋_gb2312" w:cs="仿宋_gb2312"/>
          <w:color w:val="0000FF"/>
          <w:sz w:val="28"/>
          <w:szCs w:val="28"/>
          <w:u w:val="single"/>
        </w:rPr>
        <w:t>http://online.enetedu.com/sqmc</w:t>
      </w:r>
      <w:r>
        <w:rPr>
          <w:rStyle w:val="12"/>
          <w:rFonts w:ascii="仿宋_gb2312" w:hAnsi="仿宋_gb2312" w:eastAsia="仿宋_gb2312" w:cs="仿宋_gb2312"/>
          <w:color w:val="0000FF"/>
          <w:sz w:val="28"/>
          <w:szCs w:val="28"/>
          <w:u w:val="single"/>
        </w:rPr>
        <w:fldChar w:fldCharType="end"/>
      </w:r>
      <w:r>
        <w:rPr>
          <w:rFonts w:ascii="仿宋_gb2312" w:hAnsi="仿宋_gb2312" w:eastAsia="仿宋_gb2312" w:cs="仿宋_gb2312"/>
          <w:color w:val="333333"/>
          <w:sz w:val="28"/>
          <w:szCs w:val="28"/>
        </w:rPr>
        <w:t>平台。</w:t>
      </w:r>
    </w:p>
    <w:p>
      <w:pPr>
        <w:pStyle w:val="6"/>
        <w:widowControl/>
        <w:wordWrap w:val="0"/>
        <w:spacing w:line="360" w:lineRule="auto"/>
        <w:ind w:firstLine="560"/>
        <w:rPr>
          <w:sz w:val="24"/>
          <w:szCs w:val="24"/>
        </w:rPr>
      </w:pPr>
      <w:r>
        <w:rPr>
          <w:rFonts w:ascii="仿宋_gb2312" w:hAnsi="仿宋_gb2312" w:eastAsia="仿宋_gb2312" w:cs="仿宋_gb2312"/>
          <w:color w:val="333333"/>
          <w:sz w:val="28"/>
          <w:szCs w:val="28"/>
        </w:rPr>
        <w:t>1.首次登陆用户：</w:t>
      </w:r>
    </w:p>
    <w:p>
      <w:pPr>
        <w:pStyle w:val="6"/>
        <w:widowControl/>
        <w:wordWrap w:val="0"/>
        <w:spacing w:line="360" w:lineRule="auto"/>
        <w:ind w:firstLine="560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ascii="仿宋_gb2312" w:hAnsi="仿宋_gb2312" w:eastAsia="仿宋_gb2312" w:cs="仿宋_gb2312"/>
          <w:color w:val="333333"/>
          <w:sz w:val="28"/>
          <w:szCs w:val="28"/>
        </w:rPr>
        <w:t>登录网站→注册账号→网络直播/战“疫”公开课/公开选修专题→报名→观摩课程→打印学时证明。</w:t>
      </w:r>
    </w:p>
    <w:p>
      <w:pPr>
        <w:pStyle w:val="6"/>
        <w:widowControl/>
        <w:wordWrap w:val="0"/>
        <w:spacing w:line="360" w:lineRule="auto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drawing>
          <wp:inline distT="0" distB="0" distL="114300" distR="114300">
            <wp:extent cx="5257800" cy="2855595"/>
            <wp:effectExtent l="0" t="0" r="0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4631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line="360" w:lineRule="auto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drawing>
          <wp:inline distT="0" distB="0" distL="114300" distR="114300">
            <wp:extent cx="5268595" cy="4152265"/>
            <wp:effectExtent l="0" t="0" r="8255" b="63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wordWrap w:val="0"/>
        <w:spacing w:line="360" w:lineRule="auto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drawing>
          <wp:inline distT="0" distB="0" distL="114300" distR="114300">
            <wp:extent cx="5266690" cy="3788410"/>
            <wp:effectExtent l="0" t="0" r="10160" b="25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wordWrap w:val="0"/>
        <w:spacing w:line="360" w:lineRule="auto"/>
        <w:ind w:firstLine="560"/>
        <w:rPr>
          <w:sz w:val="24"/>
          <w:szCs w:val="24"/>
        </w:rPr>
      </w:pPr>
      <w:r>
        <w:rPr>
          <w:rFonts w:ascii="仿宋_gb2312" w:hAnsi="仿宋_gb2312" w:eastAsia="仿宋_gb2312" w:cs="仿宋_gb2312"/>
          <w:color w:val="333333"/>
          <w:sz w:val="28"/>
          <w:szCs w:val="28"/>
        </w:rPr>
        <w:t>2.注册用户：</w:t>
      </w:r>
    </w:p>
    <w:p>
      <w:pPr>
        <w:pStyle w:val="6"/>
        <w:widowControl/>
        <w:wordWrap w:val="0"/>
        <w:spacing w:line="360" w:lineRule="auto"/>
        <w:ind w:firstLine="560"/>
        <w:rPr>
          <w:sz w:val="24"/>
          <w:szCs w:val="24"/>
        </w:rPr>
      </w:pPr>
      <w:r>
        <w:rPr>
          <w:rFonts w:ascii="仿宋_gb2312" w:hAnsi="仿宋_gb2312" w:eastAsia="仿宋_gb2312" w:cs="仿宋_gb2312"/>
          <w:color w:val="333333"/>
          <w:sz w:val="28"/>
          <w:szCs w:val="28"/>
        </w:rPr>
        <w:t>登录网站→学员登录→网络直播/战“疫”公开课→报名→观摩课程→打印学时证明。</w:t>
      </w:r>
    </w:p>
    <w:p>
      <w:pPr>
        <w:pStyle w:val="6"/>
        <w:widowControl/>
        <w:wordWrap w:val="0"/>
        <w:spacing w:line="360" w:lineRule="auto"/>
        <w:ind w:firstLine="560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方法二：</w:t>
      </w:r>
    </w:p>
    <w:p>
      <w:pPr>
        <w:pStyle w:val="6"/>
        <w:widowControl/>
        <w:wordWrap w:val="0"/>
        <w:spacing w:line="360" w:lineRule="auto"/>
        <w:ind w:firstLine="560"/>
        <w:rPr>
          <w:sz w:val="24"/>
          <w:szCs w:val="24"/>
        </w:rPr>
      </w:pPr>
      <w:r>
        <w:rPr>
          <w:rFonts w:ascii="仿宋_gb2312" w:hAnsi="仿宋_gb2312" w:eastAsia="仿宋_gb2312" w:cs="仿宋_gb2312"/>
          <w:color w:val="333333"/>
          <w:sz w:val="28"/>
          <w:szCs w:val="28"/>
        </w:rPr>
        <w:t>微信公众平台“高校教师网络培训中心”（enetedu）上注册报名学习。</w:t>
      </w:r>
    </w:p>
    <w:p>
      <w:pPr>
        <w:pStyle w:val="6"/>
        <w:widowControl/>
        <w:wordWrap w:val="0"/>
        <w:spacing w:line="360" w:lineRule="auto"/>
        <w:ind w:firstLine="560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ascii="仿宋_gb2312" w:hAnsi="仿宋_gb2312" w:eastAsia="仿宋_gb2312" w:cs="仿宋_gb2312"/>
          <w:color w:val="333333"/>
          <w:sz w:val="28"/>
          <w:szCs w:val="28"/>
        </w:rPr>
        <w:t>关注公众号→注册账号并登陆→学习中心→校级平台→网络讲座/战役公开课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。</w:t>
      </w:r>
    </w:p>
    <w:p>
      <w:pPr>
        <w:pStyle w:val="6"/>
        <w:widowControl/>
        <w:wordWrap w:val="0"/>
        <w:spacing w:line="360" w:lineRule="auto"/>
        <w:ind w:firstLine="560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drawing>
          <wp:inline distT="0" distB="0" distL="114300" distR="114300">
            <wp:extent cx="4248150" cy="3832225"/>
            <wp:effectExtent l="25400" t="25400" r="31750" b="285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t="2693" b="5396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83222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wordWrap w:val="0"/>
        <w:spacing w:line="360" w:lineRule="auto"/>
        <w:ind w:firstLine="560"/>
        <w:rPr>
          <w:rFonts w:ascii="仿宋_gb2312" w:hAnsi="仿宋_gb2312" w:eastAsia="仿宋_gb2312" w:cs="仿宋_gb2312"/>
          <w:color w:val="333333"/>
          <w:sz w:val="28"/>
          <w:szCs w:val="28"/>
        </w:rPr>
      </w:pPr>
    </w:p>
    <w:p>
      <w:pPr>
        <w:pStyle w:val="6"/>
        <w:widowControl/>
        <w:wordWrap w:val="0"/>
        <w:spacing w:line="360" w:lineRule="auto"/>
        <w:ind w:firstLine="560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drawing>
          <wp:inline distT="0" distB="0" distL="114300" distR="114300">
            <wp:extent cx="4248150" cy="8842375"/>
            <wp:effectExtent l="0" t="0" r="0" b="158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wordWrap w:val="0"/>
        <w:spacing w:line="360" w:lineRule="auto"/>
        <w:ind w:firstLine="560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drawing>
          <wp:inline distT="0" distB="0" distL="114300" distR="114300">
            <wp:extent cx="4248150" cy="3241675"/>
            <wp:effectExtent l="25400" t="25400" r="31750" b="2857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b="6333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241675"/>
                    </a:xfrm>
                    <a:prstGeom prst="flowChartProcess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wordWrap w:val="0"/>
        <w:spacing w:line="360" w:lineRule="auto"/>
        <w:ind w:firstLine="560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</w:rPr>
        <w:t>备注：由于微信平台学习内容只包括两个模块，建议教师们尽量选择方法一（电脑在线）进行学习。</w:t>
      </w:r>
    </w:p>
    <w:p>
      <w:pPr>
        <w:pStyle w:val="6"/>
        <w:widowControl/>
        <w:wordWrap w:val="0"/>
        <w:spacing w:line="360" w:lineRule="auto"/>
        <w:ind w:firstLine="560"/>
        <w:jc w:val="right"/>
        <w:rPr>
          <w:rFonts w:ascii="仿宋_gb2312" w:hAnsi="仿宋_gb2312" w:eastAsia="仿宋_gb2312" w:cs="仿宋_gb2312"/>
          <w:color w:val="333333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33333"/>
          <w:sz w:val="28"/>
          <w:szCs w:val="28"/>
          <w:lang w:val="en-US" w:eastAsia="zh-CN" w:bidi="ar"/>
        </w:rPr>
        <w:t>健康管理学院</w:t>
      </w:r>
      <w:r>
        <w:rPr>
          <w:rFonts w:hint="eastAsia" w:ascii="仿宋_gb2312" w:hAnsi="仿宋_gb2312" w:eastAsia="仿宋_gb2312" w:cs="仿宋_gb2312"/>
          <w:color w:val="333333"/>
          <w:sz w:val="28"/>
          <w:szCs w:val="28"/>
          <w:lang w:bidi="ar"/>
        </w:rPr>
        <w:t>学院</w:t>
      </w:r>
    </w:p>
    <w:p>
      <w:pPr>
        <w:jc w:val="right"/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bidi="ar"/>
        </w:rPr>
        <w:t>2020年3月30日</w:t>
      </w:r>
    </w:p>
    <w:p>
      <w:pPr>
        <w:jc w:val="right"/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bidi="ar"/>
        </w:rPr>
      </w:pPr>
    </w:p>
    <w:p>
      <w:pPr>
        <w:jc w:val="right"/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bidi="ar"/>
        </w:rPr>
      </w:pPr>
    </w:p>
    <w:p>
      <w:pPr>
        <w:jc w:val="right"/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bidi="ar"/>
        </w:rPr>
      </w:pPr>
    </w:p>
    <w:p>
      <w:pPr>
        <w:jc w:val="right"/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bidi="ar"/>
        </w:rPr>
      </w:pPr>
    </w:p>
    <w:p>
      <w:pPr>
        <w:jc w:val="right"/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bidi="ar"/>
        </w:rPr>
      </w:pPr>
    </w:p>
    <w:p>
      <w:pPr>
        <w:jc w:val="right"/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bidi="ar"/>
        </w:rPr>
      </w:pPr>
    </w:p>
    <w:p>
      <w:pPr>
        <w:jc w:val="right"/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bidi="ar"/>
        </w:rPr>
      </w:pPr>
    </w:p>
    <w:p>
      <w:pPr>
        <w:jc w:val="right"/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bidi="ar"/>
        </w:rPr>
      </w:pPr>
    </w:p>
    <w:p>
      <w:pPr>
        <w:jc w:val="right"/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bidi="ar"/>
        </w:rPr>
      </w:pPr>
    </w:p>
    <w:p>
      <w:pPr>
        <w:jc w:val="right"/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bidi="ar"/>
        </w:rPr>
      </w:pPr>
    </w:p>
    <w:p>
      <w:pPr>
        <w:widowControl/>
        <w:spacing w:line="480" w:lineRule="auto"/>
        <w:ind w:firstLine="420"/>
        <w:jc w:val="left"/>
        <w:rPr>
          <w:rFonts w:ascii="仿宋_gb2312" w:hAnsi="仿宋_gb2312" w:eastAsia="仿宋_gb2312" w:cs="仿宋_gb2312"/>
          <w:color w:val="333333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</w:rPr>
        <w:t>附件</w:t>
      </w:r>
    </w:p>
    <w:p>
      <w:pPr>
        <w:widowControl/>
        <w:spacing w:line="480" w:lineRule="auto"/>
        <w:ind w:firstLine="420"/>
        <w:jc w:val="center"/>
        <w:rPr>
          <w:rFonts w:hint="eastAsia" w:ascii="微软雅黑" w:hAnsi="微软雅黑" w:eastAsia="微软雅黑"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/>
          <w:color w:val="000000"/>
          <w:kern w:val="0"/>
          <w:sz w:val="28"/>
          <w:szCs w:val="28"/>
        </w:rPr>
        <w:t>培训资源目录</w:t>
      </w:r>
    </w:p>
    <w:p>
      <w:pPr>
        <w:widowControl/>
        <w:spacing w:line="480" w:lineRule="auto"/>
        <w:ind w:firstLine="420"/>
        <w:jc w:val="left"/>
        <w:rPr>
          <w:rFonts w:hint="eastAsia" w:ascii="微软雅黑" w:hAnsi="微软雅黑" w:eastAsia="微软雅黑"/>
          <w:b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/>
          <w:b/>
          <w:bCs/>
          <w:color w:val="333333"/>
          <w:kern w:val="0"/>
          <w:szCs w:val="21"/>
        </w:rPr>
        <w:t>一、同步集中</w:t>
      </w:r>
      <w:r>
        <w:rPr>
          <w:rFonts w:hint="eastAsia" w:ascii="微软雅黑" w:hAnsi="微软雅黑" w:eastAsia="微软雅黑"/>
          <w:b/>
          <w:bCs/>
          <w:color w:val="000000"/>
          <w:kern w:val="0"/>
          <w:szCs w:val="21"/>
          <w:highlight w:val="yellow"/>
        </w:rPr>
        <w:t>网络直播</w:t>
      </w:r>
      <w:r>
        <w:rPr>
          <w:rFonts w:hint="eastAsia" w:ascii="微软雅黑" w:hAnsi="微软雅黑" w:eastAsia="微软雅黑"/>
          <w:b/>
          <w:bCs/>
          <w:color w:val="000000"/>
          <w:kern w:val="0"/>
          <w:szCs w:val="21"/>
        </w:rPr>
        <w:t>讲座</w:t>
      </w:r>
    </w:p>
    <w:tbl>
      <w:tblPr>
        <w:tblStyle w:val="8"/>
        <w:tblW w:w="8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5354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序号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内容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质量革命背景下的大学生学习成果评价实践与应用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2020/03/27-28 9：00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教学名师谈教学——课堂教学的方法与技巧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2020/03/30 14:00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3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确立教学学术理念，优化课程教学设计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ind w:firstLine="360" w:firstLineChars="200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2020/03/31 14:00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4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外语听力教学的理念与实践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2020/04/01 14:00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5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用现代教育技术点燃高校课堂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2020/04/02 14:00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6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课程思政的理论与实践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2020/04/07 14:00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7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新时代高校基层教学组织（教研室）建设与教学管理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2020/04/10 09:00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8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社会科学类实证研究——问卷设计与抽样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2020/04/13 14:00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9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传媒业的智能化趋势及其影响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2020/04/15 14:00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10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以赛促教、以赛促创——中国互联网+大学生创新创业大赛指南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2020/04/17 09:00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11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顶天立地与知行合一：青年教师成长的时间表与路线图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2020/04/23 14:00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12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虚拟仿真实践教学项目立项与实践应用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2020/04/24 09:00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13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BOPPPS有效教学结构的研究与实践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  <w:shd w:val="clear" w:color="auto" w:fill="FFFFFF"/>
              </w:rPr>
              <w:t>2020/04/28 14:00</w:t>
            </w:r>
          </w:p>
        </w:tc>
      </w:tr>
    </w:tbl>
    <w:p>
      <w:pPr>
        <w:widowControl/>
        <w:spacing w:line="480" w:lineRule="auto"/>
        <w:ind w:firstLine="420"/>
        <w:jc w:val="left"/>
        <w:rPr>
          <w:rFonts w:hint="eastAsia" w:ascii="微软雅黑" w:hAnsi="微软雅黑" w:eastAsia="微软雅黑"/>
          <w:b/>
          <w:bCs/>
          <w:color w:val="000000"/>
          <w:kern w:val="0"/>
          <w:szCs w:val="21"/>
        </w:rPr>
      </w:pPr>
    </w:p>
    <w:p>
      <w:pPr>
        <w:widowControl/>
        <w:jc w:val="left"/>
        <w:rPr>
          <w:rFonts w:hint="eastAsia" w:ascii="微软雅黑" w:hAnsi="微软雅黑" w:eastAsia="微软雅黑"/>
          <w:b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/>
          <w:b/>
          <w:bCs/>
          <w:color w:val="000000"/>
          <w:kern w:val="0"/>
          <w:szCs w:val="21"/>
        </w:rPr>
        <w:br w:type="page"/>
      </w:r>
    </w:p>
    <w:p>
      <w:pPr>
        <w:widowControl/>
        <w:spacing w:line="480" w:lineRule="auto"/>
        <w:ind w:firstLine="420"/>
        <w:jc w:val="left"/>
        <w:rPr>
          <w:rFonts w:hint="eastAsia" w:ascii="微软雅黑" w:hAnsi="微软雅黑" w:eastAsia="微软雅黑"/>
          <w:b/>
          <w:bCs/>
          <w:color w:val="0083A0"/>
          <w:szCs w:val="21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color w:val="000000"/>
          <w:kern w:val="0"/>
          <w:szCs w:val="21"/>
        </w:rPr>
        <w:t>二、</w:t>
      </w:r>
      <w:r>
        <w:rPr>
          <w:rFonts w:hint="eastAsia" w:ascii="微软雅黑" w:hAnsi="微软雅黑" w:eastAsia="微软雅黑"/>
          <w:b/>
          <w:bCs/>
          <w:color w:val="000000"/>
          <w:kern w:val="0"/>
          <w:szCs w:val="21"/>
          <w:highlight w:val="yellow"/>
        </w:rPr>
        <w:t>战“疫”公开课</w:t>
      </w:r>
      <w:r>
        <w:rPr>
          <w:rFonts w:hint="eastAsia" w:ascii="微软雅黑" w:hAnsi="微软雅黑" w:eastAsia="微软雅黑"/>
          <w:b/>
          <w:bCs/>
          <w:color w:val="000000"/>
          <w:kern w:val="0"/>
          <w:szCs w:val="21"/>
        </w:rPr>
        <w:t>（免费学习时间：（疫情期间））</w:t>
      </w:r>
    </w:p>
    <w:tbl>
      <w:tblPr>
        <w:tblStyle w:val="8"/>
        <w:tblW w:w="79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7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教师身心健康与压力管理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突发公共事件应急管理的策略与方法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3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突发事件风险管理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4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教师大计，师德为本——和高校教师谈师德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5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本科新设专业专业建设与课程教学名师讲堂——机械电子工程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6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国家精品慕课名师讲堂——数学分析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7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国家精品慕课名师讲堂——Python语言程序设计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8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本科新设专业专业建设与课程教学名师讲堂——物联网工程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9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数据科学与大数据技术专业知识与专业建设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10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思想道德修养与法律基础（马工程重点教材培训）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11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马克思主义基本原理概论（马工程重点教材培训）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12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毛泽东思想和中国特色社会主义理论体系概论（马工程重点教材培训）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13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中国近现代史纲要（马工程重点教材培训）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14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逻辑学（马工程重点教材培训）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15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新闻编辑（“马工程”重点教材培训）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16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中国革命史2（马工程重点教材培训）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17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中国法制史2（“马工程”重点教材培训）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18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劳动与社会保障法学2（马工程重点教材培）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19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民事诉讼法学2（马工程重点教材培训）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20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刑事诉讼法学2（“马工程”重点教材培训）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21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行政法与行政诉讼法学2（马工程重点教材培训）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22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西方经济学2（马工程重点教材培训）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23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国际公法学2（马工程重点教材培训）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24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中国共产党思想政治教育史2（马工程重点教材培训）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25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国际经济法学2（马工程重点教材培训）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26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思想政治教育学原理2（马工程重点教材培训）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27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经济法学2（“马工程”重点教材培训）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28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世界古代史2（马工程重点教材培训）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29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预防医学课程教学培训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30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普通昆虫学课程教学培训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31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中国古代文学史（“马工程”重点教材培训）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32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中国思想史（“马工程”重点教材培训）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33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外国文学史（“马工程”重点教材培训）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34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美学原理（“马工程”重点教材培训）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35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西方美学史（“马工程”重点教材培训）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36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考古学概论（“马工程”重点教材培训）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37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中国美学史（“马工程”重点教材培训）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38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比较文学概论（“马工程”重点教材培训）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39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西方文学理论（“马工程”重点教材培训）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40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人工智能课程教学培训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41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文学理论（“马工程”重点教材培训）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42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新闻学概论（“马工程”重点教材培训）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43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宪法学（“马工程”重点教材培训）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44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现代人的健康管理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45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世界经济概论（“马工程”重点教材培训）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46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高校教师教学艺术（理工）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47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数字信号处理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48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无机化学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49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线性代数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50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现代控制工程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51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现代礼仪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52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演讲与口才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53</w:t>
            </w:r>
          </w:p>
        </w:tc>
        <w:tc>
          <w:tcPr>
            <w:tcW w:w="7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高校防控新型冠状病毒肺炎疫情培训课程</w:t>
            </w:r>
          </w:p>
        </w:tc>
      </w:tr>
    </w:tbl>
    <w:p>
      <w:pPr>
        <w:widowControl/>
        <w:spacing w:line="480" w:lineRule="auto"/>
        <w:ind w:firstLine="420"/>
        <w:jc w:val="left"/>
        <w:rPr>
          <w:rFonts w:hint="eastAsia" w:ascii="微软雅黑" w:hAnsi="微软雅黑" w:eastAsia="微软雅黑"/>
          <w:b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/>
          <w:b/>
          <w:bCs/>
          <w:color w:val="000000"/>
          <w:kern w:val="0"/>
          <w:szCs w:val="21"/>
        </w:rPr>
        <w:t>三、</w:t>
      </w:r>
      <w:r>
        <w:rPr>
          <w:rFonts w:hint="eastAsia" w:ascii="微软雅黑" w:hAnsi="微软雅黑" w:eastAsia="微软雅黑"/>
          <w:b/>
          <w:bCs/>
          <w:color w:val="000000"/>
          <w:kern w:val="0"/>
          <w:szCs w:val="21"/>
          <w:highlight w:val="yellow"/>
        </w:rPr>
        <w:t>公开选修专题</w:t>
      </w:r>
      <w:r>
        <w:rPr>
          <w:rFonts w:hint="eastAsia" w:ascii="微软雅黑" w:hAnsi="微软雅黑" w:eastAsia="微软雅黑"/>
          <w:b/>
          <w:bCs/>
          <w:color w:val="000000"/>
          <w:kern w:val="0"/>
          <w:szCs w:val="21"/>
        </w:rPr>
        <w:t>（需在教师在线学习中心进行学习）</w:t>
      </w:r>
    </w:p>
    <w:tbl>
      <w:tblPr>
        <w:tblStyle w:val="8"/>
        <w:tblW w:w="79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儒家人生哲学与教师修养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史学经典与人文修养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3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高校科研创新与制度保障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4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教学相长与为人师表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5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教学论的核心理念及其应用操作的基本程序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6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如何帮助学生确立发展目标或学习目标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7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如何保持高校教师的心理健康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8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教学法与教学策略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9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如何在各类科研基金课题申报中取得成功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10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把教学当做一门艺术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11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把提高教育研究质量上升为国家战略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12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大学教师需要学点“课程论”和“教学论“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13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如何指导学生做科研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14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青年教师专业发展的路径与策略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15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和谐交往从心理沟通开始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16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如何讲好一门课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17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教师形象设计与公共礼仪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18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用礼仪打造教师魅力形象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19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大学生喜爱什么样的老师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20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人格与国性——大学生素质教育的两大主题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21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教师应该读点儿文学史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22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当代大学生心理特点及教育策略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23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课堂教学中的沟通技巧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24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怎样成长为一名优秀的大学教师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25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教师身心健康与压力管理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26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大学课堂教学方法与艺术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27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让课堂充满激情、智慧和欢乐——谈教学方…查看法与教学艺术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28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导师，你应该教给学生什么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29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48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青年教师的职业病与常见病的预防及保健</w:t>
            </w:r>
          </w:p>
        </w:tc>
      </w:tr>
    </w:tbl>
    <w:p>
      <w:pPr>
        <w:widowControl/>
        <w:spacing w:line="480" w:lineRule="auto"/>
        <w:ind w:firstLine="420"/>
        <w:jc w:val="left"/>
        <w:rPr>
          <w:rFonts w:hint="eastAsia" w:ascii="微软雅黑" w:hAnsi="微软雅黑" w:eastAsia="微软雅黑"/>
          <w:color w:val="000000"/>
          <w:kern w:val="0"/>
          <w:szCs w:val="21"/>
        </w:rPr>
      </w:pPr>
    </w:p>
    <w:p>
      <w:pPr>
        <w:rPr>
          <w:rFonts w:hint="eastAsia" w:ascii="等线" w:hAnsi="等线" w:eastAsia="等线"/>
          <w:szCs w:val="22"/>
        </w:rPr>
      </w:pPr>
    </w:p>
    <w:p>
      <w:pPr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D25C20"/>
    <w:rsid w:val="00333360"/>
    <w:rsid w:val="003F319A"/>
    <w:rsid w:val="00410009"/>
    <w:rsid w:val="00432FDD"/>
    <w:rsid w:val="004955BA"/>
    <w:rsid w:val="00880E81"/>
    <w:rsid w:val="00895DC7"/>
    <w:rsid w:val="009006EC"/>
    <w:rsid w:val="00BF163D"/>
    <w:rsid w:val="00E5251F"/>
    <w:rsid w:val="00EC0C35"/>
    <w:rsid w:val="108F35C5"/>
    <w:rsid w:val="141D5460"/>
    <w:rsid w:val="2A98265B"/>
    <w:rsid w:val="3C575DB0"/>
    <w:rsid w:val="4B353DB6"/>
    <w:rsid w:val="63A026FF"/>
    <w:rsid w:val="67651360"/>
    <w:rsid w:val="6AD25C20"/>
    <w:rsid w:val="6E613288"/>
    <w:rsid w:val="77D5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jc w:val="left"/>
    </w:pPr>
    <w:rPr>
      <w:rFonts w:ascii="微软雅黑" w:hAnsi="微软雅黑" w:eastAsia="微软雅黑" w:cs="Times New Roman"/>
      <w:kern w:val="0"/>
      <w:sz w:val="18"/>
      <w:szCs w:val="18"/>
    </w:rPr>
  </w:style>
  <w:style w:type="table" w:styleId="8">
    <w:name w:val="Table Grid"/>
    <w:basedOn w:val="7"/>
    <w:qFormat/>
    <w:uiPriority w:val="39"/>
    <w:rPr>
      <w:rFonts w:ascii="等线" w:hAnsi="等线" w:eastAsia="等线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9"/>
    <w:qFormat/>
    <w:uiPriority w:val="0"/>
    <w:rPr>
      <w:color w:val="296FBE"/>
      <w:u w:val="none"/>
    </w:rPr>
  </w:style>
  <w:style w:type="character" w:customStyle="1" w:styleId="13">
    <w:name w:val="批注框文本 Char"/>
    <w:basedOn w:val="9"/>
    <w:link w:val="3"/>
    <w:qFormat/>
    <w:uiPriority w:val="0"/>
    <w:rPr>
      <w:kern w:val="2"/>
      <w:sz w:val="18"/>
      <w:szCs w:val="18"/>
    </w:rPr>
  </w:style>
  <w:style w:type="character" w:customStyle="1" w:styleId="14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5">
    <w:name w:val="页脚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236B92-1CE3-4481-B9EB-65831B8356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459</Words>
  <Characters>2619</Characters>
  <Lines>21</Lines>
  <Paragraphs>6</Paragraphs>
  <TotalTime>151</TotalTime>
  <ScaleCrop>false</ScaleCrop>
  <LinksUpToDate>false</LinksUpToDate>
  <CharactersWithSpaces>3072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2020-03-30T04:00:00Z</dcterms:created>
  <dc:creator>王静</dc:creator>
  <cp:lastModifiedBy>木丶唯曦</cp:lastModifiedBy>
  <dcterms:modified xsi:type="dcterms:W3CDTF">2020-04-07T11:54:48Z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